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2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36095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36095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956AB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Heat Transfer</w:t>
      </w:r>
    </w:p>
    <w:p w:rsidR="00BB2AEE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184421">
        <w:rPr>
          <w:rFonts w:ascii="Times New Roman" w:hAnsi="Times New Roman" w:cs="Times New Roman"/>
          <w:sz w:val="24"/>
          <w:szCs w:val="24"/>
          <w:lang w:val="en-IN"/>
        </w:rPr>
        <w:t xml:space="preserve"> Duration</w:t>
      </w:r>
      <w:r w:rsidR="00BB2AEE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84421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BB2AEE">
        <w:rPr>
          <w:rFonts w:ascii="Times New Roman" w:hAnsi="Times New Roman" w:cs="Times New Roman"/>
          <w:sz w:val="24"/>
          <w:szCs w:val="24"/>
          <w:lang w:val="en-IN"/>
        </w:rPr>
        <w:tab/>
      </w:r>
      <w:r w:rsidR="00184421">
        <w:rPr>
          <w:rFonts w:ascii="Times New Roman" w:hAnsi="Times New Roman" w:cs="Times New Roman"/>
          <w:sz w:val="24"/>
          <w:szCs w:val="24"/>
          <w:lang w:val="en-IN"/>
        </w:rPr>
        <w:t xml:space="preserve">15 Weeks 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(lecture/Practical) per </w:t>
      </w:r>
      <w:r w:rsidR="0005758D">
        <w:rPr>
          <w:rFonts w:ascii="Times New Roman" w:hAnsi="Times New Roman" w:cs="Times New Roman"/>
          <w:sz w:val="24"/>
          <w:szCs w:val="24"/>
          <w:lang w:val="en-IN"/>
        </w:rPr>
        <w:t>week (</w:t>
      </w:r>
      <w:r>
        <w:rPr>
          <w:rFonts w:ascii="Times New Roman" w:hAnsi="Times New Roman" w:cs="Times New Roman"/>
          <w:sz w:val="24"/>
          <w:szCs w:val="24"/>
          <w:lang w:val="en-IN"/>
        </w:rPr>
        <w:t>in hou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>rs): Lectures</w:t>
      </w:r>
      <w:r w:rsidR="00956AB8">
        <w:rPr>
          <w:rFonts w:ascii="Times New Roman" w:hAnsi="Times New Roman" w:cs="Times New Roman"/>
          <w:sz w:val="24"/>
          <w:szCs w:val="24"/>
          <w:lang w:val="en-IN"/>
        </w:rPr>
        <w:t>: 3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 xml:space="preserve"> hours, Practical</w:t>
      </w:r>
      <w:r w:rsidR="00956AB8">
        <w:rPr>
          <w:rFonts w:ascii="Times New Roman" w:hAnsi="Times New Roman" w:cs="Times New Roman"/>
          <w:sz w:val="24"/>
          <w:szCs w:val="24"/>
          <w:lang w:val="en-IN"/>
        </w:rPr>
        <w:t>: 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XSpec="center" w:tblpY="742"/>
        <w:tblW w:w="11022" w:type="dxa"/>
        <w:tblLayout w:type="fixed"/>
        <w:tblLook w:val="04A0"/>
      </w:tblPr>
      <w:tblGrid>
        <w:gridCol w:w="959"/>
        <w:gridCol w:w="5622"/>
        <w:gridCol w:w="1134"/>
        <w:gridCol w:w="3307"/>
      </w:tblGrid>
      <w:tr w:rsidR="006D553B" w:rsidRPr="006E47E6" w:rsidTr="00412D0B">
        <w:tc>
          <w:tcPr>
            <w:tcW w:w="959" w:type="dxa"/>
            <w:vMerge w:val="restart"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E47E6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5622" w:type="dxa"/>
            <w:vMerge w:val="restart"/>
          </w:tcPr>
          <w:p w:rsidR="006D553B" w:rsidRPr="006E47E6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E47E6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  <w:tc>
          <w:tcPr>
            <w:tcW w:w="4441" w:type="dxa"/>
            <w:gridSpan w:val="2"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E47E6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</w:tc>
      </w:tr>
      <w:tr w:rsidR="006D553B" w:rsidRPr="006E47E6" w:rsidTr="00412D0B">
        <w:tc>
          <w:tcPr>
            <w:tcW w:w="959" w:type="dxa"/>
            <w:vMerge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5622" w:type="dxa"/>
            <w:vMerge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134" w:type="dxa"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E47E6">
              <w:rPr>
                <w:rFonts w:ascii="Times New Roman" w:hAnsi="Times New Roman" w:cs="Times New Roman"/>
                <w:b/>
                <w:lang w:val="en-IN"/>
              </w:rPr>
              <w:t>Practical Day</w:t>
            </w:r>
          </w:p>
        </w:tc>
        <w:tc>
          <w:tcPr>
            <w:tcW w:w="3307" w:type="dxa"/>
          </w:tcPr>
          <w:p w:rsidR="006D553B" w:rsidRPr="006E47E6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E47E6">
              <w:rPr>
                <w:rFonts w:ascii="Times New Roman" w:hAnsi="Times New Roman" w:cs="Times New Roman"/>
                <w:b/>
                <w:lang w:val="en-IN"/>
              </w:rPr>
              <w:t>Topic</w:t>
            </w:r>
          </w:p>
        </w:tc>
      </w:tr>
      <w:tr w:rsidR="00C4677A" w:rsidRPr="006E47E6" w:rsidTr="00412D0B">
        <w:trPr>
          <w:trHeight w:val="497"/>
        </w:trPr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Brief detail regarding syllabus and overview of subject, books required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 1.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 w:val="restart"/>
          </w:tcPr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0"/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0"/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F8655A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0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thermal conductivity of a metalrod.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Introduction to heat transfer Definition of heat, modes of heat transfer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Basic laws of heat transfer, application of heat transfer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Simple numerical problems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Fourier   equation,   electrical   analogy   of   heat   conduction   thermal conductivity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 2.</w:t>
            </w:r>
          </w:p>
        </w:tc>
        <w:tc>
          <w:tcPr>
            <w:tcW w:w="3307" w:type="dxa"/>
            <w:vMerge w:val="restart"/>
          </w:tcPr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9"/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9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thermal conductivity of an insulatingslab.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Drive the general conduction equation in Cartesian coordinate.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Drive the general conduction equation in cylindrical coordinate.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Drive the general conduction equation in spherical coordinate.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 xml:space="preserve"> Concept of conduction and film resistance</w:t>
            </w:r>
          </w:p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Drive the steady one dimensional heat conduction without internal heat generation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 3</w:t>
            </w:r>
          </w:p>
        </w:tc>
        <w:tc>
          <w:tcPr>
            <w:tcW w:w="3307" w:type="dxa"/>
            <w:vMerge w:val="restart"/>
          </w:tcPr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thermal conductivity of an insulatingpowder.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conduction through plane and composite wall, the cylindrical shell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Conduction through the spherical shell.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Derive the expression for critical thickness of insulation.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Concept of variable thermal conductivity.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4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 w:val="restart"/>
          </w:tcPr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5"/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5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thermal resistance of a compositewall.</w:t>
            </w: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Derive the steady one dimensional heat conduction with uniform internal heat generation: the plane slab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Derive the steady one dimensional heat conduction with uniform internal heat generation through cylindrical and spherical systems.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 xml:space="preserve">Heat transfer through fins of uniform cross section, governing equation, temperature distribution and heat dissipation rate 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Lumped system approximation and Biot number, approximate solution to unsteady conduction heat transfer by the use of Heisler charts.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5</w:t>
            </w:r>
          </w:p>
        </w:tc>
        <w:tc>
          <w:tcPr>
            <w:tcW w:w="3307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F5E0B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9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plot the temperature distribution of a pin fin infree-convection.</w:t>
            </w:r>
          </w:p>
          <w:p w:rsidR="00C4677A" w:rsidRPr="006E47E6" w:rsidRDefault="00C4677A" w:rsidP="00215F1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18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Effectiveness and efficiency of fins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  <w:color w:val="000000"/>
              </w:rPr>
            </w:pPr>
            <w:r w:rsidRPr="006E47E6">
              <w:rPr>
                <w:rFonts w:ascii="Times New Roman" w:hAnsi="Times New Roman" w:cs="Times New Roman"/>
              </w:rPr>
              <w:t>Heat convection, basic equation, boundary layers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Forced convection, external and internal flow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lastRenderedPageBreak/>
              <w:t>21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Natural convective heat transfer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</w:rPr>
              <w:t>To plot the temperature distribution of a pin fin inforced-convection</w:t>
            </w: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Dimensionless parameters for forced and free convective heat transfer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6</w:t>
            </w: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5622" w:type="dxa"/>
          </w:tcPr>
          <w:p w:rsidR="00C4677A" w:rsidRPr="006E47E6" w:rsidRDefault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Boundary layer analogies correlations for forced and free convection</w:t>
            </w:r>
          </w:p>
        </w:tc>
        <w:tc>
          <w:tcPr>
            <w:tcW w:w="1134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Approximate solution to laminar boundary layer equations for both internal and external flow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Estimate heat transfer rates in laminar and turbulent flow situations using appropriate correlations for free and forced convection.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7</w:t>
            </w:r>
          </w:p>
        </w:tc>
        <w:tc>
          <w:tcPr>
            <w:tcW w:w="3307" w:type="dxa"/>
            <w:vMerge w:val="restart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widowControl w:val="0"/>
              <w:tabs>
                <w:tab w:val="left" w:pos="841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study the forced convection heat transfer from a cylindricalsurface.</w:t>
            </w: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Boiling and condensation heat transfer, pool boiling curve, Nusselt theory of laminar film condensation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Interaction of radiation with materials,  definitions of radioactive properties, monochromatic and total emissive power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 xml:space="preserve">Plank’s distribution law, Stefan </w:t>
            </w:r>
            <w:proofErr w:type="spellStart"/>
            <w:r w:rsidRPr="006E47E6">
              <w:rPr>
                <w:rFonts w:ascii="Times New Roman" w:hAnsi="Times New Roman" w:cs="Times New Roman"/>
              </w:rPr>
              <w:t>Boltzman’s</w:t>
            </w:r>
            <w:proofErr w:type="spellEnd"/>
            <w:r w:rsidRPr="006E47E6">
              <w:rPr>
                <w:rFonts w:ascii="Times New Roman" w:hAnsi="Times New Roman" w:cs="Times New Roman"/>
              </w:rPr>
              <w:t xml:space="preserve"> law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Wien’s displacement law, Kirchhoff’s law, intensity of radiation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8</w:t>
            </w:r>
          </w:p>
        </w:tc>
        <w:tc>
          <w:tcPr>
            <w:tcW w:w="3307" w:type="dxa"/>
            <w:vMerge w:val="restart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</w:rPr>
              <w:t>To determine the effectiveness of a concentric tube heat exchanger in a parallel flow arrangement</w:t>
            </w: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Lambert’s cosine law, heat transfer between black surfaces, radiation shape factor, heat transfer between non-black surfaces.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jc w:val="both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Infinite parallel planes, infinite long concentric cylinders, small gray bodies and small body in large enclosure, electrical network approach, radiation shields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 xml:space="preserve"> Introduction to heat </w:t>
            </w:r>
            <w:proofErr w:type="spellStart"/>
            <w:r w:rsidRPr="006E47E6">
              <w:rPr>
                <w:rFonts w:ascii="Times New Roman" w:hAnsi="Times New Roman" w:cs="Times New Roman"/>
              </w:rPr>
              <w:t>exchangers,Types</w:t>
            </w:r>
            <w:proofErr w:type="spellEnd"/>
            <w:r w:rsidRPr="006E47E6">
              <w:rPr>
                <w:rFonts w:ascii="Times New Roman" w:hAnsi="Times New Roman" w:cs="Times New Roman"/>
              </w:rPr>
              <w:t xml:space="preserve"> of heat exchangers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 w:val="restart"/>
          </w:tcPr>
          <w:p w:rsidR="00C4677A" w:rsidRPr="006E47E6" w:rsidRDefault="00C4677A" w:rsidP="00C4677A">
            <w:pPr>
              <w:widowControl w:val="0"/>
              <w:tabs>
                <w:tab w:val="left" w:pos="841"/>
              </w:tabs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Stefan-Boltzmanconstant.</w:t>
            </w: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Overall heat transfer coefficient, fouling factor</w:t>
            </w:r>
          </w:p>
        </w:tc>
        <w:tc>
          <w:tcPr>
            <w:tcW w:w="1134" w:type="dxa"/>
            <w:vMerge w:val="restart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 xml:space="preserve">       9</w:t>
            </w: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Analysis and design of heat exchanger using LMTD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35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NTU method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 w:val="restart"/>
          </w:tcPr>
          <w:p w:rsidR="00C4677A" w:rsidRPr="006E47E6" w:rsidRDefault="00C4677A" w:rsidP="00C4677A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2"/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To determine the emissivity of a givenplate.</w:t>
            </w:r>
          </w:p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Effectiveness of heat exchangers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C4677A" w:rsidRPr="006E47E6" w:rsidTr="00412D0B">
        <w:tc>
          <w:tcPr>
            <w:tcW w:w="959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  <w:r w:rsidRPr="006E47E6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5622" w:type="dxa"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</w:rPr>
            </w:pPr>
            <w:r w:rsidRPr="006E47E6">
              <w:rPr>
                <w:rFonts w:ascii="Times New Roman" w:hAnsi="Times New Roman" w:cs="Times New Roman"/>
              </w:rPr>
              <w:t>Multipaas heat exchangers, application of heat exchangers</w:t>
            </w:r>
          </w:p>
        </w:tc>
        <w:tc>
          <w:tcPr>
            <w:tcW w:w="1134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7" w:type="dxa"/>
            <w:vMerge/>
          </w:tcPr>
          <w:p w:rsidR="00C4677A" w:rsidRPr="006E47E6" w:rsidRDefault="00C4677A" w:rsidP="00C4677A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35ABC" w:rsidRPr="00635ABC" w:rsidRDefault="00635ABC" w:rsidP="00635ABC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6D3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278"/>
    <w:multiLevelType w:val="hybridMultilevel"/>
    <w:tmpl w:val="28E8B7AC"/>
    <w:lvl w:ilvl="0" w:tplc="BDA29ACA">
      <w:start w:val="1"/>
      <w:numFmt w:val="decimal"/>
      <w:lvlText w:val="%1."/>
      <w:lvlJc w:val="left"/>
      <w:pPr>
        <w:ind w:left="841" w:hanging="360"/>
        <w:jc w:val="left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AD9495E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E66B3E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0046C25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FF6EAE2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C8FE60AA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ED7AFAD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AE78CEEE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2CCE693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64724"/>
    <w:rsid w:val="00100B06"/>
    <w:rsid w:val="00184421"/>
    <w:rsid w:val="001B1F24"/>
    <w:rsid w:val="00227F21"/>
    <w:rsid w:val="0036095F"/>
    <w:rsid w:val="003827FC"/>
    <w:rsid w:val="00412911"/>
    <w:rsid w:val="00412D0B"/>
    <w:rsid w:val="00436C2E"/>
    <w:rsid w:val="00446393"/>
    <w:rsid w:val="004A1A88"/>
    <w:rsid w:val="006124AF"/>
    <w:rsid w:val="00635ABC"/>
    <w:rsid w:val="006D31A2"/>
    <w:rsid w:val="006D553B"/>
    <w:rsid w:val="006E47E6"/>
    <w:rsid w:val="006F2301"/>
    <w:rsid w:val="006F5E0B"/>
    <w:rsid w:val="00790BF1"/>
    <w:rsid w:val="00956AB8"/>
    <w:rsid w:val="00A705BA"/>
    <w:rsid w:val="00BB2AEE"/>
    <w:rsid w:val="00C4677A"/>
    <w:rsid w:val="00C51182"/>
    <w:rsid w:val="00CB1FB9"/>
    <w:rsid w:val="00CF40E1"/>
    <w:rsid w:val="00E57775"/>
    <w:rsid w:val="00F8655A"/>
    <w:rsid w:val="00FD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2022-09-09T09:29:00Z</dcterms:created>
  <dcterms:modified xsi:type="dcterms:W3CDTF">2022-10-28T10:08:00Z</dcterms:modified>
</cp:coreProperties>
</file>